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0C" w:rsidRPr="00560DB0" w:rsidRDefault="0073190C" w:rsidP="00560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B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73190C" w:rsidRPr="00560DB0" w:rsidRDefault="0073190C" w:rsidP="00560D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>итоговой диагностики (мониторинга) индивидуального развития воспитанников МБДОУ «Излучинский ДСКВ «Сказка»</w:t>
      </w:r>
    </w:p>
    <w:p w:rsidR="0073190C" w:rsidRPr="00560DB0" w:rsidRDefault="0073190C" w:rsidP="0056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90C" w:rsidRPr="00560DB0" w:rsidRDefault="008C4B14" w:rsidP="0056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о педагогической диагностике (мониторинге) 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проведёна 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итоговая 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диагностика (мониторинг) результатов освоения программного материала воспитанниками по пяти образоват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ельным областям по общеобра</w:t>
      </w:r>
      <w:r w:rsidR="000E3268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зовательной программе «Детство», «От рождения до школы».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Подведены итоги результатов трех этапов педагогической диагностики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2016–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учебного года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: начальной, промежуточной, итоговой.</w:t>
      </w:r>
    </w:p>
    <w:p w:rsidR="008C4B14" w:rsidRPr="00560DB0" w:rsidRDefault="008C4B14" w:rsidP="0056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b/>
          <w:i/>
          <w:sz w:val="28"/>
          <w:szCs w:val="28"/>
        </w:rPr>
        <w:t>Цель педагогической диагностики (мониторинга)</w:t>
      </w:r>
      <w:r w:rsidRPr="00560D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60DB0">
        <w:rPr>
          <w:rFonts w:ascii="Times New Roman" w:hAnsi="Times New Roman" w:cs="Times New Roman"/>
          <w:sz w:val="28"/>
          <w:szCs w:val="28"/>
        </w:rPr>
        <w:t xml:space="preserve">изучить процесс индивидуального развития детей </w:t>
      </w:r>
      <w:r w:rsidR="00287EDC" w:rsidRPr="00560DB0">
        <w:rPr>
          <w:rFonts w:ascii="Times New Roman" w:hAnsi="Times New Roman" w:cs="Times New Roman"/>
          <w:sz w:val="28"/>
          <w:szCs w:val="28"/>
        </w:rPr>
        <w:t>раннего и дошкольного возраста,</w:t>
      </w:r>
      <w:r w:rsidRPr="00560DB0">
        <w:rPr>
          <w:rFonts w:ascii="Times New Roman" w:hAnsi="Times New Roman" w:cs="Times New Roman"/>
          <w:sz w:val="28"/>
          <w:szCs w:val="28"/>
        </w:rPr>
        <w:t xml:space="preserve">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для: </w:t>
      </w:r>
    </w:p>
    <w:p w:rsidR="00287EDC" w:rsidRPr="00560DB0" w:rsidRDefault="008C4B14" w:rsidP="0056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оптимизации образовательной работы с </w:t>
      </w:r>
      <w:r w:rsidR="00287EDC" w:rsidRPr="00560DB0">
        <w:rPr>
          <w:rFonts w:ascii="Times New Roman" w:hAnsi="Times New Roman"/>
          <w:sz w:val="28"/>
          <w:szCs w:val="28"/>
        </w:rPr>
        <w:t>дошкольниками;</w:t>
      </w:r>
    </w:p>
    <w:p w:rsidR="00287EDC" w:rsidRPr="00560DB0" w:rsidRDefault="008C4B14" w:rsidP="0056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  <w:r w:rsidR="00287EDC" w:rsidRPr="00560DB0">
        <w:rPr>
          <w:rFonts w:ascii="Times New Roman" w:hAnsi="Times New Roman"/>
          <w:sz w:val="28"/>
          <w:szCs w:val="28"/>
        </w:rPr>
        <w:t xml:space="preserve"> </w:t>
      </w:r>
    </w:p>
    <w:p w:rsidR="008C4B14" w:rsidRPr="00560DB0" w:rsidRDefault="00287EDC" w:rsidP="0056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корректировки образовательного процесса в группах раннего и дошкольного возраста.</w:t>
      </w:r>
    </w:p>
    <w:p w:rsidR="008C4B14" w:rsidRPr="00560DB0" w:rsidRDefault="00287EDC" w:rsidP="0056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B14" w:rsidRPr="00560DB0">
        <w:rPr>
          <w:rFonts w:ascii="Times New Roman" w:hAnsi="Times New Roman" w:cs="Times New Roman"/>
          <w:sz w:val="28"/>
          <w:szCs w:val="28"/>
        </w:rPr>
        <w:t>Фиксация показателей развития выражается в словесной (опосредованной) форме: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Начальная стадия (не проявляются, не сформированы)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0 - 1,5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В развитии (ситуативные, спонтанные, продиктованные конкретной ситуацией)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1,51 - 2,5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При умеренной поддержке</w:t>
      </w:r>
      <w:r w:rsidR="00BD16BE" w:rsidRPr="00560DB0">
        <w:rPr>
          <w:rFonts w:ascii="Times New Roman" w:hAnsi="Times New Roman"/>
          <w:sz w:val="28"/>
          <w:szCs w:val="28"/>
        </w:rPr>
        <w:t xml:space="preserve"> 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>2,51 - 3,5;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Самостоятельно (проявляются достаточно часто, но активность быстро угасает)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3,51 - 4,5</w:t>
      </w:r>
      <w:r w:rsidR="00BD16BE" w:rsidRPr="00560DB0">
        <w:rPr>
          <w:rFonts w:ascii="Times New Roman" w:hAnsi="Times New Roman"/>
          <w:sz w:val="28"/>
          <w:szCs w:val="28"/>
        </w:rPr>
        <w:t>;</w:t>
      </w:r>
    </w:p>
    <w:p w:rsidR="0073190C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Устойчиво (проявляются стабильно, вызывают инициативную активность)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4,51 - 5</w:t>
      </w:r>
      <w:r w:rsidRPr="00560DB0">
        <w:rPr>
          <w:rFonts w:ascii="Times New Roman" w:hAnsi="Times New Roman"/>
          <w:sz w:val="28"/>
          <w:szCs w:val="28"/>
        </w:rPr>
        <w:t>.</w:t>
      </w:r>
    </w:p>
    <w:p w:rsidR="00BD16BE" w:rsidRPr="00560DB0" w:rsidRDefault="00BD16BE" w:rsidP="0056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Выявленные показатели развития каждого ребенка фиксировались в картах индивидуального развития воспитанников в электронном варианте, используя программный продукт на основе СОНАТА-ДО: программно-диагностического комплекса для ДОУ, разработчики: С.П. Олейников, </w:t>
      </w:r>
      <w:proofErr w:type="spellStart"/>
      <w:r w:rsidRPr="00560DB0">
        <w:rPr>
          <w:rFonts w:ascii="Times New Roman" w:hAnsi="Times New Roman" w:cs="Times New Roman"/>
          <w:sz w:val="28"/>
          <w:szCs w:val="28"/>
        </w:rPr>
        <w:t>Г.Г.Телюкова</w:t>
      </w:r>
      <w:proofErr w:type="spellEnd"/>
      <w:r w:rsidRPr="00560DB0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Pr="00560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0D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0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protema</w:t>
        </w:r>
        <w:proofErr w:type="spellEnd"/>
        <w:r w:rsidRPr="00560D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0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0100" w:rsidRPr="00560DB0" w:rsidRDefault="00EA0100" w:rsidP="0056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В качестве показателей оценки индивидуального развития ребенка выделены внешние (наблюдаемые) проявления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</w:t>
      </w:r>
      <w:r w:rsidRPr="00560DB0">
        <w:rPr>
          <w:rFonts w:ascii="Times New Roman" w:hAnsi="Times New Roman" w:cs="Times New Roman"/>
          <w:sz w:val="28"/>
          <w:szCs w:val="28"/>
        </w:rPr>
        <w:lastRenderedPageBreak/>
        <w:t>возраста. Достижение целевых ориентиров к концу дошкольного возраста является 100% показателем качества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программы ДО.</w:t>
      </w:r>
    </w:p>
    <w:p w:rsidR="00164AB9" w:rsidRPr="00560DB0" w:rsidRDefault="0073190C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осуществлялся </w:t>
      </w:r>
      <w:r w:rsidR="00EA0100" w:rsidRPr="00560DB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560DB0">
        <w:rPr>
          <w:rFonts w:ascii="Times New Roman" w:hAnsi="Times New Roman" w:cs="Times New Roman"/>
          <w:sz w:val="28"/>
          <w:szCs w:val="28"/>
        </w:rPr>
        <w:t>отслеживани</w:t>
      </w:r>
      <w:r w:rsidR="00EA0100" w:rsidRPr="00560DB0">
        <w:rPr>
          <w:rFonts w:ascii="Times New Roman" w:hAnsi="Times New Roman" w:cs="Times New Roman"/>
          <w:sz w:val="28"/>
          <w:szCs w:val="28"/>
        </w:rPr>
        <w:t xml:space="preserve">я </w:t>
      </w:r>
      <w:r w:rsidRPr="00560DB0">
        <w:rPr>
          <w:rFonts w:ascii="Times New Roman" w:hAnsi="Times New Roman" w:cs="Times New Roman"/>
          <w:sz w:val="28"/>
          <w:szCs w:val="28"/>
        </w:rPr>
        <w:t>результатов освоения образовательной программы</w:t>
      </w:r>
      <w:r w:rsidR="00EA0100" w:rsidRPr="00560DB0">
        <w:rPr>
          <w:rFonts w:ascii="Times New Roman" w:hAnsi="Times New Roman" w:cs="Times New Roman"/>
          <w:sz w:val="28"/>
          <w:szCs w:val="28"/>
        </w:rPr>
        <w:t xml:space="preserve"> по всем образовательным областям, с ориентацией на планируемые достижения воспитанников по программе «Детство», под редакцией Т.И. Бабаевой, А.Г. Гогоберидзе, О.В. Солнцевой </w:t>
      </w:r>
      <w:r w:rsidR="00EA0100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парциальных программ, реализуемых в ДОУ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Результаты педагогической диагностики (мониторинга) показали, что индивидуальные достижения детей, на каждом возрастном этапе, соответствуют возрастным нормам. Уровень сформированности  планируемых результатов освоения образовательной программы по всем направлениям развития (образовательным областям) находится в положительной динамике и определяется в соответствии с возрастным контингентом воспитанников: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период с </w:t>
      </w:r>
      <w:r w:rsidR="000E3268">
        <w:rPr>
          <w:rFonts w:ascii="Times New Roman" w:hAnsi="Times New Roman" w:cs="Times New Roman"/>
          <w:b/>
          <w:color w:val="000000"/>
          <w:sz w:val="28"/>
          <w:szCs w:val="28"/>
        </w:rPr>
        <w:t>сентября 2016 года по май 2017года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подготовительных к школе группах уровень качества освоения программы увеличился на </w:t>
      </w:r>
      <w:r w:rsidR="000E32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>4% и составляет 83%.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 группах старшего дошкольного возраста уровень качества ос</w:t>
      </w:r>
      <w:r w:rsidR="000E3268">
        <w:rPr>
          <w:rFonts w:ascii="Times New Roman" w:hAnsi="Times New Roman" w:cs="Times New Roman"/>
          <w:color w:val="000000"/>
          <w:sz w:val="28"/>
          <w:szCs w:val="28"/>
        </w:rPr>
        <w:t xml:space="preserve">воения программы увеличился на 21 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>% и составляет 70%.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среднего дошкольного возраста уровень качества освоения программы увеличился на </w:t>
      </w:r>
      <w:r w:rsidR="000E32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>4% и составляет 63%.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младшего дошкольного возраста уровень качества освоения программы увеличился на </w:t>
      </w:r>
      <w:r w:rsidR="000E32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>3% и составляет 51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раннего возраста уровень качества освоения программы увеличился на 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0E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% и составляет 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3C6610" w:rsidRPr="00560DB0" w:rsidRDefault="003C661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Выявлена часть контингента воспитанников ДОУ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2 корпуса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затруднения в освоении образовательной программы, в </w:t>
      </w:r>
      <w:r w:rsidRPr="00560DB0">
        <w:rPr>
          <w:rFonts w:ascii="Times New Roman" w:hAnsi="Times New Roman" w:cs="Times New Roman"/>
          <w:sz w:val="28"/>
          <w:szCs w:val="28"/>
        </w:rPr>
        <w:t xml:space="preserve">ввиду особенностей их индивидуального развития, тяжелой адаптации к ДОУ, по следующим 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областям: </w:t>
      </w:r>
    </w:p>
    <w:p w:rsidR="003C6610" w:rsidRPr="00560DB0" w:rsidRDefault="003C6610" w:rsidP="00560DB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DB0">
        <w:rPr>
          <w:rFonts w:ascii="Times New Roman" w:hAnsi="Times New Roman"/>
          <w:b/>
          <w:color w:val="000000"/>
          <w:sz w:val="28"/>
          <w:szCs w:val="28"/>
        </w:rPr>
        <w:t>познавательное развитие -63%</w:t>
      </w:r>
    </w:p>
    <w:p w:rsidR="003C6610" w:rsidRPr="00560DB0" w:rsidRDefault="003C6610" w:rsidP="00560DB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0DB0">
        <w:rPr>
          <w:rFonts w:ascii="Times New Roman" w:hAnsi="Times New Roman"/>
          <w:b/>
          <w:color w:val="000000"/>
          <w:sz w:val="28"/>
          <w:szCs w:val="28"/>
        </w:rPr>
        <w:t>художественно-эстетическое развитие-62%</w:t>
      </w:r>
    </w:p>
    <w:p w:rsidR="003C6610" w:rsidRPr="00560DB0" w:rsidRDefault="003C6610" w:rsidP="00560DB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0DB0">
        <w:rPr>
          <w:rFonts w:ascii="Times New Roman" w:hAnsi="Times New Roman"/>
          <w:b/>
          <w:color w:val="000000"/>
          <w:sz w:val="28"/>
          <w:szCs w:val="28"/>
        </w:rPr>
        <w:t>речевое развитие-63%</w:t>
      </w:r>
    </w:p>
    <w:p w:rsidR="003C6610" w:rsidRPr="00560DB0" w:rsidRDefault="007709F6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Количественные результаты и качественные показатели итоговой диагностики (мониторинга) индивидуального развития воспитанников ДОУ за период январь – май 2017г представлены в приложении 1.</w:t>
      </w:r>
    </w:p>
    <w:p w:rsidR="00EA0100" w:rsidRPr="00560DB0" w:rsidRDefault="002E4EA8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группах младшего дошкольного возраста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особенные затруднения выявлены в познавательном развитии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</w:rPr>
        <w:t>46%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образовательной области,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физического развития воспитанников - 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56%.</w:t>
      </w:r>
    </w:p>
    <w:p w:rsidR="00EA0100" w:rsidRPr="00560DB0" w:rsidRDefault="003C6610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группах среднего дошкольного возраста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12 и №4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 недостаточный уровень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5F2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программы 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познавательного развития – </w:t>
      </w:r>
      <w:r w:rsidR="002E4EA8" w:rsidRPr="00560DB0">
        <w:rPr>
          <w:rFonts w:ascii="Times New Roman" w:hAnsi="Times New Roman" w:cs="Times New Roman"/>
          <w:b/>
          <w:color w:val="000000"/>
          <w:sz w:val="28"/>
          <w:szCs w:val="28"/>
        </w:rPr>
        <w:t>53%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физического развития воспитанников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- 6</w:t>
      </w:r>
      <w:r w:rsidR="002E4EA8"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</w:t>
      </w:r>
      <w:r w:rsidR="002E4EA8"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E4EA8" w:rsidRPr="00560DB0" w:rsidRDefault="002E4EA8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старшего возраста уровень освоения области «Познавательное развитие» ниже средних показателей по все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областям – 70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 группе №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(логопедическая) дети 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недостаточный уровень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освоения Программы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«Художественно – эстетическое развитие»</w:t>
      </w:r>
      <w:r w:rsidR="000E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- 6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физического развития воспитанников-68%</w:t>
      </w:r>
    </w:p>
    <w:p w:rsidR="00EA0100" w:rsidRPr="00560DB0" w:rsidRDefault="00F325F2" w:rsidP="00560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подготовительных к школе группах результат освоения образовательной программы соответствует возрастным показателям.</w:t>
      </w:r>
    </w:p>
    <w:p w:rsidR="00BD16BE" w:rsidRPr="00560DB0" w:rsidRDefault="00BD16BE" w:rsidP="00560DB0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0DB0">
        <w:rPr>
          <w:sz w:val="28"/>
          <w:szCs w:val="28"/>
        </w:rPr>
        <w:t xml:space="preserve">Результаты </w:t>
      </w:r>
      <w:r w:rsidRPr="00560DB0">
        <w:rPr>
          <w:b/>
          <w:i/>
          <w:sz w:val="28"/>
          <w:szCs w:val="28"/>
        </w:rPr>
        <w:t>итоговой</w:t>
      </w:r>
      <w:r w:rsidRPr="00560DB0">
        <w:rPr>
          <w:sz w:val="28"/>
          <w:szCs w:val="28"/>
        </w:rPr>
        <w:t xml:space="preserve"> педагогической диагностики</w:t>
      </w:r>
      <w:r w:rsidR="000E3268">
        <w:rPr>
          <w:sz w:val="28"/>
          <w:szCs w:val="28"/>
        </w:rPr>
        <w:t>:</w:t>
      </w:r>
    </w:p>
    <w:p w:rsidR="00BD16BE" w:rsidRPr="00560DB0" w:rsidRDefault="00BD16BE" w:rsidP="00560DB0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b/>
          <w:bCs/>
          <w:color w:val="FF0000"/>
          <w:sz w:val="28"/>
          <w:szCs w:val="28"/>
        </w:rPr>
      </w:pPr>
      <w:r w:rsidRPr="00560DB0">
        <w:rPr>
          <w:sz w:val="28"/>
          <w:szCs w:val="28"/>
        </w:rPr>
        <w:t xml:space="preserve"> уровень сформированности планируемых результатов освоения образовательной программы по всем направлениям развития (образовательным </w:t>
      </w:r>
      <w:proofErr w:type="gramStart"/>
      <w:r w:rsidRPr="00560DB0">
        <w:rPr>
          <w:sz w:val="28"/>
          <w:szCs w:val="28"/>
        </w:rPr>
        <w:t>областям)  находится</w:t>
      </w:r>
      <w:proofErr w:type="gramEnd"/>
      <w:r w:rsidRPr="00560DB0">
        <w:rPr>
          <w:sz w:val="28"/>
          <w:szCs w:val="28"/>
        </w:rPr>
        <w:t xml:space="preserve"> в положительной динамике</w:t>
      </w:r>
      <w:r w:rsidR="00314FEB">
        <w:rPr>
          <w:sz w:val="28"/>
          <w:szCs w:val="28"/>
        </w:rPr>
        <w:t>;</w:t>
      </w:r>
    </w:p>
    <w:p w:rsidR="00BD16BE" w:rsidRPr="00560DB0" w:rsidRDefault="00BD16BE" w:rsidP="00560DB0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rStyle w:val="c1"/>
          <w:b/>
          <w:bCs/>
          <w:color w:val="FF0000"/>
          <w:sz w:val="28"/>
          <w:szCs w:val="28"/>
        </w:rPr>
      </w:pPr>
      <w:r w:rsidRPr="00560DB0">
        <w:rPr>
          <w:sz w:val="28"/>
          <w:szCs w:val="28"/>
        </w:rPr>
        <w:t>определяется критериями: при умеренной поддержке педагога (</w:t>
      </w:r>
      <w:r w:rsidRPr="00560DB0">
        <w:rPr>
          <w:b/>
          <w:bCs/>
          <w:sz w:val="28"/>
          <w:szCs w:val="28"/>
        </w:rPr>
        <w:t xml:space="preserve">2,51 - 3,5); </w:t>
      </w:r>
      <w:r w:rsidRPr="00560DB0">
        <w:rPr>
          <w:sz w:val="28"/>
          <w:szCs w:val="28"/>
        </w:rPr>
        <w:t>самостоятельно (</w:t>
      </w:r>
      <w:r w:rsidRPr="00560DB0">
        <w:rPr>
          <w:b/>
          <w:bCs/>
          <w:sz w:val="28"/>
          <w:szCs w:val="28"/>
        </w:rPr>
        <w:t>3,51 - 4,5) (</w:t>
      </w:r>
      <w:r w:rsidRPr="00560DB0">
        <w:rPr>
          <w:sz w:val="28"/>
          <w:szCs w:val="28"/>
        </w:rPr>
        <w:t>проявляются достаточно часто, но активность быстро угасает).</w:t>
      </w:r>
    </w:p>
    <w:p w:rsidR="00BD16BE" w:rsidRPr="00560DB0" w:rsidRDefault="00BD16BE" w:rsidP="00560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01E" w:rsidRPr="00560DB0" w:rsidRDefault="0076001E" w:rsidP="0056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DB0">
        <w:rPr>
          <w:rFonts w:ascii="Times New Roman" w:hAnsi="Times New Roman" w:cs="Times New Roman"/>
          <w:b/>
          <w:sz w:val="28"/>
          <w:szCs w:val="28"/>
        </w:rPr>
        <w:t>Рекомендации для педагог</w:t>
      </w:r>
      <w:r w:rsidR="00502EF8">
        <w:rPr>
          <w:rFonts w:ascii="Times New Roman" w:hAnsi="Times New Roman" w:cs="Times New Roman"/>
          <w:b/>
          <w:sz w:val="28"/>
          <w:szCs w:val="28"/>
        </w:rPr>
        <w:t>ам</w:t>
      </w:r>
      <w:r w:rsidRPr="00560DB0">
        <w:rPr>
          <w:rFonts w:ascii="Times New Roman" w:hAnsi="Times New Roman" w:cs="Times New Roman"/>
          <w:b/>
          <w:sz w:val="28"/>
          <w:szCs w:val="28"/>
        </w:rPr>
        <w:t>: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Проводить работу с родителями по посещаемости детьми образовательного учреждения в течение учебного периода.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</w:t>
      </w:r>
      <w:r w:rsidR="0076001E" w:rsidRPr="00560DB0">
        <w:rPr>
          <w:rFonts w:ascii="Times New Roman" w:hAnsi="Times New Roman"/>
          <w:sz w:val="28"/>
          <w:szCs w:val="28"/>
        </w:rPr>
        <w:t>облюдать двигательный режим, проводить закаливающие мероприятия, планировать беседы с детьми по формированию знаний о ЗОЖ.</w:t>
      </w:r>
    </w:p>
    <w:p w:rsidR="00B15D90" w:rsidRPr="00560DB0" w:rsidRDefault="0076001E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Развивать у детей интерес к самостоятельному познанию (наблюдать, обследовать, экспериментировать с разнообразными материалами, ставить опыты). Для этого использовать разнообразные формы работы (развивающие игры, проектный метод, </w:t>
      </w:r>
      <w:r w:rsidR="00B15D90" w:rsidRPr="00560DB0">
        <w:rPr>
          <w:rFonts w:ascii="Times New Roman" w:hAnsi="Times New Roman"/>
          <w:sz w:val="28"/>
          <w:szCs w:val="28"/>
        </w:rPr>
        <w:t>коллекционирование)</w:t>
      </w:r>
    </w:p>
    <w:p w:rsidR="00B15D90" w:rsidRPr="00560DB0" w:rsidRDefault="0076001E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 Интересно организовывать жизнь ребенка в детском саду. 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Составить карты индивидуальные маршруты для детей с особенностями в развитии</w:t>
      </w:r>
      <w:r w:rsidR="00314FEB">
        <w:rPr>
          <w:rFonts w:ascii="Times New Roman" w:hAnsi="Times New Roman"/>
          <w:sz w:val="28"/>
          <w:szCs w:val="28"/>
        </w:rPr>
        <w:t>, детям с признаками одаренности</w:t>
      </w:r>
      <w:r w:rsidRPr="00560DB0">
        <w:rPr>
          <w:rFonts w:ascii="Times New Roman" w:hAnsi="Times New Roman"/>
          <w:sz w:val="28"/>
          <w:szCs w:val="28"/>
        </w:rPr>
        <w:t xml:space="preserve"> 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Планировать работу </w:t>
      </w:r>
      <w:r w:rsidR="0076001E" w:rsidRPr="00560DB0">
        <w:rPr>
          <w:rFonts w:ascii="Times New Roman" w:hAnsi="Times New Roman"/>
          <w:sz w:val="28"/>
          <w:szCs w:val="28"/>
        </w:rPr>
        <w:t>с родителями</w:t>
      </w:r>
      <w:r w:rsidRPr="00560DB0">
        <w:rPr>
          <w:rFonts w:ascii="Times New Roman" w:hAnsi="Times New Roman"/>
          <w:sz w:val="28"/>
          <w:szCs w:val="28"/>
        </w:rPr>
        <w:t>, включать их в образовательный процесс ДОУ</w:t>
      </w:r>
      <w:r w:rsidR="0076001E" w:rsidRPr="00560DB0">
        <w:rPr>
          <w:rFonts w:ascii="Times New Roman" w:hAnsi="Times New Roman"/>
          <w:sz w:val="28"/>
          <w:szCs w:val="28"/>
        </w:rPr>
        <w:t xml:space="preserve">. 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Повышать собственный уровень профессионального развития через прохождение курсов, </w:t>
      </w:r>
      <w:proofErr w:type="spellStart"/>
      <w:r w:rsidRPr="00560DB0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560D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0DB0">
        <w:rPr>
          <w:rFonts w:ascii="Times New Roman" w:hAnsi="Times New Roman"/>
          <w:sz w:val="28"/>
          <w:szCs w:val="28"/>
        </w:rPr>
        <w:t>онлан</w:t>
      </w:r>
      <w:proofErr w:type="spellEnd"/>
      <w:r w:rsidRPr="00560DB0">
        <w:rPr>
          <w:rFonts w:ascii="Times New Roman" w:hAnsi="Times New Roman"/>
          <w:sz w:val="28"/>
          <w:szCs w:val="28"/>
        </w:rPr>
        <w:t xml:space="preserve"> – олимпиад и т.п.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Пополнить игровые центры разнообразным дидактическим и игровым материалом.</w:t>
      </w:r>
    </w:p>
    <w:p w:rsidR="00B15D90" w:rsidRPr="00560DB0" w:rsidRDefault="00B15D90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Default="00F325F2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F325F2" w:rsidRDefault="00F325F2" w:rsidP="00F325F2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2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Аналитическая справка на Совет педагогов</w:t>
      </w:r>
    </w:p>
    <w:p w:rsidR="00F325F2" w:rsidRPr="006419F8" w:rsidRDefault="0073190C" w:rsidP="006419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начале (октябрь) и в конце (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учебного года была проведена диагностика развития интегративных качеств воспи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танников и освоения ими </w:t>
      </w:r>
      <w:r w:rsidR="006419F8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общеобразовательной </w:t>
      </w:r>
      <w:r w:rsidR="000E3268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программы ДОУ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программному комплексу «Соната – ДО».</w:t>
      </w:r>
    </w:p>
    <w:p w:rsidR="0073190C" w:rsidRPr="006419F8" w:rsidRDefault="0073190C" w:rsidP="006419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Форма проведения мониторинга преимущественно представляет собой наблюдение за деятельностью и активностью ребенка в различные периоды пребывания в дошкольном учреждении, беседы с детьми, анализ продуктов детской деятельности и результатов итоговых занятий (викторин, игр). Мониторинг детского развития включает в себя оценку физического развития ребенка, а также развития общих способностей: познавательных, коммуникативных и регуляторных, диагностику познавательных и творческих способностей, интеллектуального развития детей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Проводится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учетом требований реали</w:t>
      </w:r>
      <w:r w:rsidR="000E3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зуемой в ДОУ общеобразовательных программ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«Детство»</w:t>
      </w:r>
      <w:r w:rsidR="000E3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«От рождения до школы» </w:t>
      </w:r>
      <w:r w:rsidR="003F5854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ориентацией на целевые ориентиры</w:t>
      </w:r>
      <w:r w:rsidR="000E3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раннего и дошкольного возраста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ромежуточные результаты освоения Программы раскрывают динамику формирования интегративных качеств воспитанников в каждый возрастной период по всем направлениям развития детей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5854" w:rsidRPr="006419F8" w:rsidRDefault="0073190C" w:rsidP="006419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мониторинга образовательного процесса позволяет выстроить следующий рейтинговый порядок 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>своения образовательных областей</w:t>
      </w:r>
      <w:r w:rsidR="003F5854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дошкольному 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раннему </w:t>
      </w:r>
      <w:r w:rsidR="003F5854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>возрасту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F5854" w:rsidRDefault="0073190C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9F8">
        <w:rPr>
          <w:rFonts w:ascii="Times New Roman" w:hAnsi="Times New Roman"/>
          <w:color w:val="000000" w:themeColor="text1"/>
          <w:sz w:val="28"/>
          <w:szCs w:val="28"/>
        </w:rPr>
        <w:t>Наилучшие</w:t>
      </w:r>
      <w:r w:rsidRPr="003F5854">
        <w:rPr>
          <w:rFonts w:ascii="Times New Roman" w:hAnsi="Times New Roman"/>
          <w:sz w:val="28"/>
          <w:szCs w:val="28"/>
        </w:rPr>
        <w:t xml:space="preserve"> показатели: Образовательная область «Физическое развитие» (</w:t>
      </w:r>
      <w:r w:rsidR="003F5854" w:rsidRPr="003F5854">
        <w:rPr>
          <w:rFonts w:ascii="Times New Roman" w:hAnsi="Times New Roman"/>
          <w:sz w:val="28"/>
          <w:szCs w:val="28"/>
        </w:rPr>
        <w:t>70</w:t>
      </w:r>
      <w:r w:rsidRPr="003F5854">
        <w:rPr>
          <w:rFonts w:ascii="Times New Roman" w:hAnsi="Times New Roman"/>
          <w:sz w:val="28"/>
          <w:szCs w:val="28"/>
        </w:rPr>
        <w:t>% освоения)</w:t>
      </w:r>
      <w:r w:rsidR="003F5854">
        <w:rPr>
          <w:rFonts w:ascii="Times New Roman" w:hAnsi="Times New Roman"/>
          <w:sz w:val="28"/>
          <w:szCs w:val="28"/>
        </w:rPr>
        <w:t>, ранний возраст -73%.</w:t>
      </w:r>
    </w:p>
    <w:p w:rsidR="003F5854" w:rsidRDefault="003F5854" w:rsidP="006419F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«Социально – коммуникативная» -67%, ранний возраст 67%</w:t>
      </w:r>
    </w:p>
    <w:p w:rsidR="003F5854" w:rsidRDefault="003F5854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Речевое развитие» -66%, ранний возраст- 63%</w:t>
      </w:r>
    </w:p>
    <w:p w:rsidR="003F5854" w:rsidRDefault="003F5854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«Познавательное развитие» 63%, ранний возраст -71%</w:t>
      </w:r>
    </w:p>
    <w:p w:rsidR="003F5854" w:rsidRPr="003F5854" w:rsidRDefault="003F5854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«Художественно – эстетическое развитие» -62%, ранний возраст 63%</w:t>
      </w:r>
    </w:p>
    <w:p w:rsidR="003F5854" w:rsidRDefault="004A6B55" w:rsidP="0064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</w:t>
      </w:r>
      <w:r w:rsidR="000E3268">
        <w:rPr>
          <w:rFonts w:ascii="Times New Roman" w:hAnsi="Times New Roman"/>
          <w:sz w:val="28"/>
          <w:szCs w:val="28"/>
        </w:rPr>
        <w:t xml:space="preserve"> качества образования </w:t>
      </w:r>
      <w:r>
        <w:rPr>
          <w:rFonts w:ascii="Times New Roman" w:hAnsi="Times New Roman"/>
          <w:sz w:val="28"/>
          <w:szCs w:val="28"/>
        </w:rPr>
        <w:t>за период сентябрь 2016г – май 2017г.</w:t>
      </w:r>
      <w:r w:rsidRPr="004A6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дошкольном возрасте </w:t>
      </w:r>
      <w:r w:rsidR="00C846BD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A6B55">
        <w:rPr>
          <w:rFonts w:ascii="Times New Roman" w:hAnsi="Times New Roman"/>
          <w:b/>
          <w:sz w:val="28"/>
          <w:szCs w:val="28"/>
        </w:rPr>
        <w:t>11%</w:t>
      </w:r>
      <w:r>
        <w:rPr>
          <w:rFonts w:ascii="Times New Roman" w:hAnsi="Times New Roman"/>
          <w:sz w:val="28"/>
          <w:szCs w:val="28"/>
        </w:rPr>
        <w:t xml:space="preserve"> и равняется -</w:t>
      </w:r>
      <w:r w:rsidR="00C846BD" w:rsidRPr="004A6B55">
        <w:rPr>
          <w:rFonts w:ascii="Times New Roman" w:hAnsi="Times New Roman"/>
          <w:b/>
          <w:sz w:val="28"/>
          <w:szCs w:val="28"/>
        </w:rPr>
        <w:t>66%</w:t>
      </w:r>
      <w:r>
        <w:rPr>
          <w:rFonts w:ascii="Times New Roman" w:hAnsi="Times New Roman"/>
          <w:sz w:val="28"/>
          <w:szCs w:val="28"/>
        </w:rPr>
        <w:t xml:space="preserve">. В раннем возрасте увеличение произошло на </w:t>
      </w:r>
      <w:r w:rsidRPr="0076001E">
        <w:rPr>
          <w:rFonts w:ascii="Times New Roman" w:hAnsi="Times New Roman"/>
          <w:b/>
          <w:sz w:val="28"/>
          <w:szCs w:val="28"/>
        </w:rPr>
        <w:t>16%</w:t>
      </w:r>
      <w:r>
        <w:rPr>
          <w:rFonts w:ascii="Times New Roman" w:hAnsi="Times New Roman"/>
          <w:sz w:val="28"/>
          <w:szCs w:val="28"/>
        </w:rPr>
        <w:t xml:space="preserve"> и составило -</w:t>
      </w:r>
      <w:r w:rsidR="00C846BD" w:rsidRPr="0076001E">
        <w:rPr>
          <w:rFonts w:ascii="Times New Roman" w:hAnsi="Times New Roman"/>
          <w:b/>
          <w:sz w:val="28"/>
          <w:szCs w:val="28"/>
        </w:rPr>
        <w:t>67%</w:t>
      </w:r>
      <w:r>
        <w:rPr>
          <w:rFonts w:ascii="Times New Roman" w:hAnsi="Times New Roman"/>
          <w:sz w:val="28"/>
          <w:szCs w:val="28"/>
        </w:rPr>
        <w:t xml:space="preserve"> на конец учебного года.</w:t>
      </w:r>
    </w:p>
    <w:p w:rsidR="00C846BD" w:rsidRDefault="00C846BD" w:rsidP="003F5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03"/>
        <w:gridCol w:w="10"/>
        <w:gridCol w:w="996"/>
        <w:gridCol w:w="993"/>
        <w:gridCol w:w="850"/>
        <w:gridCol w:w="851"/>
        <w:gridCol w:w="850"/>
        <w:gridCol w:w="709"/>
      </w:tblGrid>
      <w:tr w:rsidR="00C846BD" w:rsidRPr="00D415DA" w:rsidTr="006419F8">
        <w:trPr>
          <w:trHeight w:val="331"/>
        </w:trPr>
        <w:tc>
          <w:tcPr>
            <w:tcW w:w="1951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103" w:type="dxa"/>
            <w:gridSpan w:val="6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С-К Р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П 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Р </w:t>
            </w:r>
            <w:proofErr w:type="spell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ХЭ 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Ф Р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Дошкольный возраст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2016-17гг.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по гр.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559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3.08</w:t>
            </w:r>
          </w:p>
        </w:tc>
      </w:tr>
      <w:tr w:rsidR="00C846BD" w:rsidRPr="006C2DFC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3.03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3.24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3.05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3.2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 xml:space="preserve">уровень 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413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996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993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0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1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59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55%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62%</w:t>
            </w:r>
          </w:p>
        </w:tc>
      </w:tr>
      <w:tr w:rsidR="00C846BD" w:rsidRPr="006F3D6C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67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63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66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62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70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66%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Ранний возраст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2016-17гг.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по гр.</w:t>
            </w:r>
          </w:p>
        </w:tc>
        <w:tc>
          <w:tcPr>
            <w:tcW w:w="1413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1.78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</w:t>
            </w:r>
          </w:p>
        </w:tc>
      </w:tr>
      <w:tr w:rsidR="00C846BD" w:rsidRPr="006F3D6C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3.39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3.55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3.13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3.15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3.65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3.4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 xml:space="preserve">уровень 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413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41%</w:t>
            </w:r>
          </w:p>
        </w:tc>
      </w:tr>
      <w:tr w:rsidR="00C846BD" w:rsidRPr="006F3D6C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67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71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63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63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73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67%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Д.в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Р.в.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освоения образовательной программы по дошкольному/</w:t>
            </w:r>
            <w:proofErr w:type="gramStart"/>
            <w:r w:rsidRPr="006419F8">
              <w:rPr>
                <w:rFonts w:ascii="Times New Roman" w:hAnsi="Times New Roman" w:cs="Times New Roman"/>
              </w:rPr>
              <w:t>раннему  возрасту</w:t>
            </w:r>
            <w:proofErr w:type="gramEnd"/>
            <w:r w:rsidRPr="006419F8">
              <w:rPr>
                <w:rFonts w:ascii="Times New Roman" w:hAnsi="Times New Roman" w:cs="Times New Roman"/>
              </w:rPr>
              <w:t xml:space="preserve"> (начальная)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6BD" w:rsidRPr="006419F8" w:rsidRDefault="0076001E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_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освоения образовательной программы диагностика по дошкольному /</w:t>
            </w:r>
            <w:proofErr w:type="gramStart"/>
            <w:r w:rsidRPr="006419F8">
              <w:rPr>
                <w:rFonts w:ascii="Times New Roman" w:hAnsi="Times New Roman" w:cs="Times New Roman"/>
              </w:rPr>
              <w:t>раннему  возрасту</w:t>
            </w:r>
            <w:proofErr w:type="gramEnd"/>
            <w:r w:rsidRPr="006419F8">
              <w:rPr>
                <w:rFonts w:ascii="Times New Roman" w:hAnsi="Times New Roman" w:cs="Times New Roman"/>
              </w:rPr>
              <w:t>(промежуточная)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</w:t>
            </w:r>
          </w:p>
        </w:tc>
      </w:tr>
      <w:tr w:rsidR="00C846BD" w:rsidRPr="007050E1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средний балл освоения образовательной программы по дошкольному /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раннему  возрасту</w:t>
            </w:r>
            <w:proofErr w:type="gramEnd"/>
            <w:r w:rsidRPr="006419F8">
              <w:rPr>
                <w:rFonts w:ascii="Times New Roman" w:hAnsi="Times New Roman" w:cs="Times New Roman"/>
                <w:b/>
              </w:rPr>
              <w:t xml:space="preserve">  (итоговая)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3.4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уровень качества освоения образовательной программы по дошкольному/раннему возрасту (начальная)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55</w:t>
            </w:r>
            <w:r w:rsidRPr="006419F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846BD" w:rsidRPr="006419F8" w:rsidRDefault="0076001E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_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уровень качества освоения образовательной программы диагностика по дошкольному/ раннему возрасту (промежуточная)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62</w:t>
            </w:r>
            <w:r w:rsidRPr="006419F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41</w:t>
            </w:r>
            <w:r w:rsidRPr="006419F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846BD" w:rsidRPr="007050E1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уровень качества освоения образовательной программы по дошкольному/раннему возрасту (итоговая)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67%</w:t>
            </w:r>
          </w:p>
        </w:tc>
      </w:tr>
    </w:tbl>
    <w:p w:rsidR="000E3268" w:rsidRDefault="000E3268" w:rsidP="0056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6BD" w:rsidRDefault="004A6B55" w:rsidP="0056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</w:t>
      </w:r>
      <w:r w:rsidRPr="003F5854">
        <w:rPr>
          <w:rFonts w:ascii="Times New Roman" w:hAnsi="Times New Roman"/>
          <w:sz w:val="28"/>
          <w:szCs w:val="28"/>
        </w:rPr>
        <w:t xml:space="preserve">еализация ООП находится на среднем уровне, </w:t>
      </w:r>
      <w:proofErr w:type="gramStart"/>
      <w:r w:rsidRPr="003F5854">
        <w:rPr>
          <w:rFonts w:ascii="Times New Roman" w:hAnsi="Times New Roman"/>
          <w:sz w:val="28"/>
          <w:szCs w:val="28"/>
        </w:rPr>
        <w:t xml:space="preserve">что </w:t>
      </w:r>
      <w:r w:rsidRPr="003F5854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proofErr w:type="gramEnd"/>
      <w:r w:rsidRPr="003F5854">
        <w:rPr>
          <w:rFonts w:ascii="Times New Roman" w:hAnsi="Times New Roman" w:cs="Times New Roman"/>
          <w:sz w:val="28"/>
          <w:szCs w:val="28"/>
        </w:rPr>
        <w:t xml:space="preserve"> критерию: </w:t>
      </w:r>
      <w:r w:rsidRPr="004A6B55">
        <w:rPr>
          <w:rFonts w:ascii="Times New Roman" w:hAnsi="Times New Roman" w:cs="Times New Roman"/>
          <w:b/>
          <w:sz w:val="28"/>
          <w:szCs w:val="28"/>
        </w:rPr>
        <w:t>проявляются при умеренной поддержке педагога</w:t>
      </w:r>
      <w:r w:rsidRPr="004A6B55">
        <w:rPr>
          <w:rFonts w:ascii="Times New Roman" w:hAnsi="Times New Roman"/>
          <w:sz w:val="28"/>
          <w:szCs w:val="28"/>
        </w:rPr>
        <w:t>.</w:t>
      </w:r>
      <w:r w:rsidRPr="003F5854">
        <w:rPr>
          <w:rFonts w:ascii="Times New Roman" w:hAnsi="Times New Roman"/>
          <w:sz w:val="28"/>
          <w:szCs w:val="28"/>
        </w:rPr>
        <w:t xml:space="preserve"> </w:t>
      </w:r>
    </w:p>
    <w:p w:rsidR="009C40CB" w:rsidRPr="009C40CB" w:rsidRDefault="009C40CB" w:rsidP="00560DB0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 xml:space="preserve">Факторы </w:t>
      </w:r>
      <w:proofErr w:type="gramStart"/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>отрицательно  повлиявшие</w:t>
      </w:r>
      <w:proofErr w:type="gramEnd"/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 xml:space="preserve"> на результаты мониторинга</w:t>
      </w:r>
    </w:p>
    <w:p w:rsidR="004A6B55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854">
        <w:rPr>
          <w:rFonts w:ascii="Times New Roman" w:hAnsi="Times New Roman"/>
          <w:sz w:val="28"/>
          <w:szCs w:val="28"/>
        </w:rPr>
        <w:t>Низк</w:t>
      </w:r>
      <w:r>
        <w:rPr>
          <w:rFonts w:ascii="Times New Roman" w:hAnsi="Times New Roman"/>
          <w:sz w:val="28"/>
          <w:szCs w:val="28"/>
        </w:rPr>
        <w:t>ая</w:t>
      </w:r>
      <w:r w:rsidRPr="003F5854">
        <w:rPr>
          <w:rFonts w:ascii="Times New Roman" w:hAnsi="Times New Roman"/>
          <w:sz w:val="28"/>
          <w:szCs w:val="28"/>
        </w:rPr>
        <w:t xml:space="preserve"> посещаемост</w:t>
      </w:r>
      <w:r>
        <w:rPr>
          <w:rFonts w:ascii="Times New Roman" w:hAnsi="Times New Roman"/>
          <w:sz w:val="28"/>
          <w:szCs w:val="28"/>
        </w:rPr>
        <w:t>ь</w:t>
      </w:r>
      <w:r w:rsidRPr="003F5854">
        <w:rPr>
          <w:rFonts w:ascii="Times New Roman" w:hAnsi="Times New Roman"/>
          <w:sz w:val="28"/>
          <w:szCs w:val="28"/>
        </w:rPr>
        <w:t xml:space="preserve"> </w:t>
      </w:r>
      <w:r w:rsidR="009C40CB">
        <w:rPr>
          <w:rFonts w:ascii="Times New Roman" w:hAnsi="Times New Roman"/>
          <w:sz w:val="28"/>
          <w:szCs w:val="28"/>
        </w:rPr>
        <w:t xml:space="preserve">детьми </w:t>
      </w:r>
      <w:r w:rsidRPr="003F5854">
        <w:rPr>
          <w:rFonts w:ascii="Times New Roman" w:hAnsi="Times New Roman"/>
          <w:sz w:val="28"/>
          <w:szCs w:val="28"/>
        </w:rPr>
        <w:t xml:space="preserve">занятий (пропуски по болезням, по семейным обстоятельствам) </w:t>
      </w:r>
      <w:r>
        <w:rPr>
          <w:rFonts w:ascii="Times New Roman" w:hAnsi="Times New Roman"/>
          <w:sz w:val="28"/>
          <w:szCs w:val="28"/>
        </w:rPr>
        <w:t>многих</w:t>
      </w:r>
      <w:r w:rsidRPr="003F5854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76001E" w:rsidRDefault="0076001E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Сложная адаптация  детей </w:t>
      </w:r>
      <w:r w:rsidRPr="003F5854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адш</w:t>
      </w:r>
      <w:r w:rsidR="006419F8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групп</w:t>
      </w:r>
    </w:p>
    <w:p w:rsidR="004A6B55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группах </w:t>
      </w:r>
      <w:r w:rsidRPr="0076001E">
        <w:rPr>
          <w:rFonts w:ascii="Times New Roman" w:hAnsi="Times New Roman"/>
          <w:sz w:val="28"/>
          <w:szCs w:val="28"/>
        </w:rPr>
        <w:t xml:space="preserve">детей </w:t>
      </w:r>
      <w:r w:rsidR="0076001E" w:rsidRPr="0076001E">
        <w:rPr>
          <w:rFonts w:ascii="Times New Roman" w:hAnsi="Times New Roman"/>
          <w:sz w:val="28"/>
          <w:szCs w:val="28"/>
        </w:rPr>
        <w:t xml:space="preserve">с </w:t>
      </w:r>
      <w:r w:rsidRPr="0076001E">
        <w:rPr>
          <w:rFonts w:ascii="Times New Roman" w:hAnsi="Times New Roman"/>
          <w:sz w:val="28"/>
          <w:szCs w:val="28"/>
        </w:rPr>
        <w:t>индивидуальным</w:t>
      </w:r>
      <w:r w:rsidR="0076001E" w:rsidRPr="0076001E">
        <w:rPr>
          <w:rFonts w:ascii="Times New Roman" w:hAnsi="Times New Roman"/>
          <w:sz w:val="28"/>
          <w:szCs w:val="28"/>
        </w:rPr>
        <w:t xml:space="preserve"> психическим </w:t>
      </w:r>
      <w:r w:rsidRPr="0076001E">
        <w:rPr>
          <w:rFonts w:ascii="Times New Roman" w:hAnsi="Times New Roman"/>
          <w:sz w:val="28"/>
          <w:szCs w:val="28"/>
        </w:rPr>
        <w:t xml:space="preserve"> </w:t>
      </w:r>
      <w:r w:rsidR="0076001E" w:rsidRPr="0076001E">
        <w:rPr>
          <w:rFonts w:ascii="Times New Roman" w:hAnsi="Times New Roman"/>
          <w:sz w:val="28"/>
          <w:szCs w:val="28"/>
        </w:rPr>
        <w:t xml:space="preserve">и речевым </w:t>
      </w:r>
      <w:r w:rsidRPr="0076001E">
        <w:rPr>
          <w:rFonts w:ascii="Times New Roman" w:hAnsi="Times New Roman"/>
          <w:sz w:val="28"/>
          <w:szCs w:val="28"/>
        </w:rPr>
        <w:t>развитием</w:t>
      </w:r>
      <w:r w:rsidR="006419F8">
        <w:rPr>
          <w:rFonts w:ascii="Times New Roman" w:hAnsi="Times New Roman"/>
          <w:sz w:val="28"/>
          <w:szCs w:val="28"/>
        </w:rPr>
        <w:t>.</w:t>
      </w:r>
    </w:p>
    <w:p w:rsidR="006419F8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Частое отсутствие физкультурного руководителя на 3 спортивном зале</w:t>
      </w:r>
      <w:r w:rsidR="006419F8">
        <w:rPr>
          <w:rFonts w:ascii="Times New Roman" w:hAnsi="Times New Roman"/>
          <w:sz w:val="28"/>
          <w:szCs w:val="28"/>
        </w:rPr>
        <w:t>.</w:t>
      </w:r>
    </w:p>
    <w:p w:rsidR="004A6B55" w:rsidRPr="00560DB0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19F8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419F8">
        <w:rPr>
          <w:rFonts w:ascii="Times New Roman" w:hAnsi="Times New Roman"/>
          <w:sz w:val="28"/>
          <w:szCs w:val="28"/>
        </w:rPr>
        <w:t xml:space="preserve">системы в </w:t>
      </w:r>
      <w:r>
        <w:rPr>
          <w:rFonts w:ascii="Times New Roman" w:hAnsi="Times New Roman"/>
          <w:sz w:val="28"/>
          <w:szCs w:val="28"/>
        </w:rPr>
        <w:t>работ</w:t>
      </w:r>
      <w:r w:rsidR="006419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бассейна.</w:t>
      </w:r>
    </w:p>
    <w:p w:rsidR="009C40CB" w:rsidRDefault="009C40CB" w:rsidP="00560DB0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>Факторы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положительно</w:t>
      </w:r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 xml:space="preserve">  повлиявшие</w:t>
      </w:r>
      <w:proofErr w:type="gramEnd"/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 xml:space="preserve"> на результаты мониторинга</w:t>
      </w:r>
    </w:p>
    <w:p w:rsidR="009C40CB" w:rsidRPr="0005200F" w:rsidRDefault="009C40CB" w:rsidP="00560DB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701C">
        <w:rPr>
          <w:rFonts w:ascii="Times New Roman" w:hAnsi="Times New Roman"/>
          <w:sz w:val="28"/>
          <w:szCs w:val="28"/>
        </w:rPr>
        <w:t>рименение новых методов и приемы обучения (ИКТ,</w:t>
      </w:r>
      <w:r w:rsidR="006419F8" w:rsidRPr="0005200F">
        <w:rPr>
          <w:rFonts w:ascii="Times New Roman" w:hAnsi="Times New Roman"/>
          <w:sz w:val="28"/>
          <w:szCs w:val="28"/>
        </w:rPr>
        <w:t xml:space="preserve"> моделирование).</w:t>
      </w:r>
    </w:p>
    <w:p w:rsidR="009C40CB" w:rsidRP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40CB">
        <w:rPr>
          <w:rFonts w:ascii="Times New Roman" w:hAnsi="Times New Roman"/>
          <w:sz w:val="28"/>
          <w:szCs w:val="28"/>
        </w:rPr>
        <w:t>Взаимодействие с родителями (консультации, индивидуальные беседы); помощь родителей в организации педагогического процесса (выставки, поделки и др</w:t>
      </w:r>
      <w:r>
        <w:rPr>
          <w:rFonts w:ascii="Times New Roman" w:hAnsi="Times New Roman"/>
          <w:sz w:val="28"/>
          <w:szCs w:val="28"/>
        </w:rPr>
        <w:t>угие</w:t>
      </w:r>
      <w:r w:rsidRPr="009C40CB">
        <w:rPr>
          <w:rFonts w:ascii="Times New Roman" w:hAnsi="Times New Roman"/>
          <w:sz w:val="28"/>
          <w:szCs w:val="28"/>
        </w:rPr>
        <w:t>)</w:t>
      </w:r>
      <w:r w:rsidR="006419F8">
        <w:rPr>
          <w:rFonts w:ascii="Times New Roman" w:hAnsi="Times New Roman"/>
          <w:sz w:val="28"/>
          <w:szCs w:val="28"/>
        </w:rPr>
        <w:t>.</w:t>
      </w:r>
    </w:p>
    <w:p w:rsid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социальными партнерами по программе преемственности</w:t>
      </w:r>
      <w:r w:rsidR="0005200F">
        <w:rPr>
          <w:rFonts w:ascii="Times New Roman" w:hAnsi="Times New Roman"/>
          <w:sz w:val="28"/>
          <w:szCs w:val="28"/>
        </w:rPr>
        <w:t>.</w:t>
      </w:r>
    </w:p>
    <w:p w:rsid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Кружковая деятельность педагогов групп</w:t>
      </w:r>
      <w:r w:rsidR="0005200F">
        <w:rPr>
          <w:rFonts w:ascii="Times New Roman" w:hAnsi="Times New Roman"/>
          <w:sz w:val="28"/>
          <w:szCs w:val="28"/>
        </w:rPr>
        <w:t>.</w:t>
      </w:r>
    </w:p>
    <w:p w:rsid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 кружок по обучению детей чтению «Грамотейка», шахматы.</w:t>
      </w:r>
    </w:p>
    <w:p w:rsidR="006419F8" w:rsidRDefault="006419F8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профессиональных компетенций педагогов ОУ в ходе посещения вебинаров, курсов повышения квалификации, переквалификации.</w:t>
      </w:r>
    </w:p>
    <w:p w:rsidR="00C846BD" w:rsidRPr="00560DB0" w:rsidRDefault="0005200F" w:rsidP="00560DB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молодыми педагогами по программе «Школа молодого специалиста»</w:t>
      </w:r>
    </w:p>
    <w:p w:rsidR="009C40CB" w:rsidRPr="00B61AD0" w:rsidRDefault="009C40CB" w:rsidP="009C40CB">
      <w:pPr>
        <w:pStyle w:val="a4"/>
        <w:tabs>
          <w:tab w:val="left" w:pos="1813"/>
        </w:tabs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</w:rPr>
      </w:pPr>
      <w:r w:rsidRPr="00B61AD0">
        <w:rPr>
          <w:rFonts w:ascii="Times New Roman" w:hAnsi="Times New Roman"/>
          <w:b/>
          <w:color w:val="000000"/>
          <w:sz w:val="28"/>
          <w:szCs w:val="28"/>
        </w:rPr>
        <w:t>Вывод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846BD" w:rsidRDefault="009C40CB" w:rsidP="0056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0">
        <w:rPr>
          <w:rFonts w:ascii="Times New Roman" w:hAnsi="Times New Roman"/>
          <w:color w:val="000000"/>
          <w:sz w:val="28"/>
          <w:szCs w:val="28"/>
        </w:rPr>
        <w:t>Сравнительный анализ результатов мон</w:t>
      </w:r>
      <w:r>
        <w:rPr>
          <w:rFonts w:ascii="Times New Roman" w:hAnsi="Times New Roman"/>
          <w:color w:val="000000"/>
          <w:sz w:val="28"/>
          <w:szCs w:val="28"/>
        </w:rPr>
        <w:t>иторинга в начале и в конце 2016- 2017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учебного года показывает рост усвоения детьми программного материала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C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прослеживается положительная динамика развития </w:t>
      </w:r>
      <w:r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по всем образовательным областям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C846BD" w:rsidSect="00F325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01B9"/>
    <w:multiLevelType w:val="hybridMultilevel"/>
    <w:tmpl w:val="223A7DF2"/>
    <w:lvl w:ilvl="0" w:tplc="B912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A6D14"/>
    <w:multiLevelType w:val="hybridMultilevel"/>
    <w:tmpl w:val="32402468"/>
    <w:lvl w:ilvl="0" w:tplc="91808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9E4FBA"/>
    <w:multiLevelType w:val="hybridMultilevel"/>
    <w:tmpl w:val="9EFE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606B"/>
    <w:multiLevelType w:val="hybridMultilevel"/>
    <w:tmpl w:val="223A7DF2"/>
    <w:lvl w:ilvl="0" w:tplc="B912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B1CC9"/>
    <w:multiLevelType w:val="hybridMultilevel"/>
    <w:tmpl w:val="E20A5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166948"/>
    <w:multiLevelType w:val="hybridMultilevel"/>
    <w:tmpl w:val="656A237C"/>
    <w:lvl w:ilvl="0" w:tplc="6EB6C360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54C23"/>
    <w:multiLevelType w:val="hybridMultilevel"/>
    <w:tmpl w:val="A89ABC34"/>
    <w:lvl w:ilvl="0" w:tplc="251AB1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3D4449"/>
    <w:multiLevelType w:val="hybridMultilevel"/>
    <w:tmpl w:val="87040978"/>
    <w:lvl w:ilvl="0" w:tplc="A65C8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3F3A98"/>
    <w:multiLevelType w:val="hybridMultilevel"/>
    <w:tmpl w:val="B1581CC8"/>
    <w:lvl w:ilvl="0" w:tplc="6EB6C360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0C"/>
    <w:rsid w:val="0005200F"/>
    <w:rsid w:val="000E3268"/>
    <w:rsid w:val="00164AB9"/>
    <w:rsid w:val="0020776C"/>
    <w:rsid w:val="002460F7"/>
    <w:rsid w:val="00287EDC"/>
    <w:rsid w:val="002E4EA8"/>
    <w:rsid w:val="00314FEB"/>
    <w:rsid w:val="003C6610"/>
    <w:rsid w:val="003F5854"/>
    <w:rsid w:val="004A6B55"/>
    <w:rsid w:val="00502EF8"/>
    <w:rsid w:val="00560DB0"/>
    <w:rsid w:val="006419F8"/>
    <w:rsid w:val="006A36D1"/>
    <w:rsid w:val="0073190C"/>
    <w:rsid w:val="0076001E"/>
    <w:rsid w:val="007709F6"/>
    <w:rsid w:val="008C4B14"/>
    <w:rsid w:val="009C40CB"/>
    <w:rsid w:val="009E3840"/>
    <w:rsid w:val="00AC510C"/>
    <w:rsid w:val="00B15D90"/>
    <w:rsid w:val="00BD16BE"/>
    <w:rsid w:val="00C846BD"/>
    <w:rsid w:val="00CD7A4B"/>
    <w:rsid w:val="00EA0100"/>
    <w:rsid w:val="00F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DB65-022D-4EDF-91D3-77C61D2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90C"/>
  </w:style>
  <w:style w:type="character" w:styleId="a3">
    <w:name w:val="Hyperlink"/>
    <w:basedOn w:val="a0"/>
    <w:uiPriority w:val="99"/>
    <w:semiHidden/>
    <w:unhideWhenUsed/>
    <w:rsid w:val="007319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4B1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846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D16BE"/>
  </w:style>
  <w:style w:type="paragraph" w:customStyle="1" w:styleId="c2">
    <w:name w:val="c2"/>
    <w:basedOn w:val="a"/>
    <w:rsid w:val="00BD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te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4</cp:revision>
  <dcterms:created xsi:type="dcterms:W3CDTF">2018-10-10T09:00:00Z</dcterms:created>
  <dcterms:modified xsi:type="dcterms:W3CDTF">2018-10-15T09:10:00Z</dcterms:modified>
</cp:coreProperties>
</file>